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212" w:tblpY="648"/>
        <w:tblW w:w="9214" w:type="dxa"/>
        <w:tblCellMar>
          <w:left w:w="0" w:type="dxa"/>
          <w:right w:w="0" w:type="dxa"/>
        </w:tblCellMar>
        <w:tblLook w:val="0000"/>
      </w:tblPr>
      <w:tblGrid>
        <w:gridCol w:w="9214"/>
      </w:tblGrid>
      <w:tr w:rsidR="001D531D" w:rsidRPr="0065554E" w:rsidTr="001D531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999933"/>
            <w:vAlign w:val="center"/>
          </w:tcPr>
          <w:p w:rsidR="001D531D" w:rsidRPr="0065554E" w:rsidRDefault="001D531D" w:rsidP="001D531D">
            <w:pPr>
              <w:rPr>
                <w:rFonts w:ascii="Arial" w:hAnsi="Arial" w:cs="Arial"/>
                <w:color w:val="FFFFFF"/>
              </w:rPr>
            </w:pPr>
            <w:r w:rsidRPr="0065554E">
              <w:rPr>
                <w:rFonts w:ascii="Arial" w:hAnsi="Arial" w:cs="Arial"/>
                <w:color w:val="FFFFFF"/>
              </w:rPr>
              <w:t>電磁相容性指令</w:t>
            </w:r>
            <w:r w:rsidRPr="0065554E">
              <w:rPr>
                <w:rFonts w:ascii="Arial" w:hAnsi="Arial" w:cs="Arial"/>
                <w:color w:val="FFFFFF"/>
              </w:rPr>
              <w:t xml:space="preserve"> (EMC 2004/108/EC ) </w:t>
            </w:r>
          </w:p>
        </w:tc>
      </w:tr>
      <w:tr w:rsidR="001D531D" w:rsidRPr="0065554E" w:rsidTr="001D531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31D" w:rsidRPr="0065554E" w:rsidRDefault="001D531D" w:rsidP="001D531D">
            <w:pPr>
              <w:spacing w:before="100" w:beforeAutospacing="1" w:after="240"/>
              <w:rPr>
                <w:rFonts w:ascii="Arial" w:hAnsi="Arial" w:cs="Arial"/>
                <w:lang w:eastAsia="zh-TW"/>
              </w:rPr>
            </w:pPr>
            <w:r w:rsidRPr="0065554E">
              <w:rPr>
                <w:rFonts w:ascii="Arial" w:hAnsi="Arial" w:cs="Arial"/>
                <w:lang w:eastAsia="zh-TW"/>
              </w:rPr>
              <w:t>除了針對機械安全制定規範外，歐盟為了調合歐盟各會員國有關電磁干擾的容許程度，歐盟理事會公佈了各會員國間關於電磁相容性相關法律之調合指令。</w:t>
            </w:r>
            <w:r w:rsidRPr="0065554E">
              <w:rPr>
                <w:rFonts w:ascii="Arial" w:hAnsi="Arial" w:cs="Arial"/>
                <w:lang w:eastAsia="zh-TW"/>
              </w:rPr>
              <w:t xml:space="preserve"> </w:t>
            </w:r>
          </w:p>
        </w:tc>
      </w:tr>
    </w:tbl>
    <w:p w:rsidR="001D531D" w:rsidRDefault="001D531D" w:rsidP="00276EC1">
      <w:pPr>
        <w:jc w:val="center"/>
        <w:rPr>
          <w:rFonts w:ascii="Times New Roman" w:hAnsi="Times New Roman" w:cs="Times New Roman" w:hint="eastAsia"/>
          <w:color w:val="000000"/>
          <w:sz w:val="32"/>
          <w:shd w:val="clear" w:color="auto" w:fill="FFFFFF"/>
          <w:lang w:eastAsia="zh-TW"/>
        </w:rPr>
      </w:pPr>
    </w:p>
    <w:p w:rsidR="001D531D" w:rsidRPr="001D531D" w:rsidRDefault="001D531D" w:rsidP="00276EC1">
      <w:pPr>
        <w:jc w:val="center"/>
        <w:rPr>
          <w:rFonts w:ascii="Times New Roman" w:hAnsi="Times New Roman" w:cs="Times New Roman" w:hint="eastAsia"/>
          <w:color w:val="000000"/>
          <w:sz w:val="32"/>
          <w:shd w:val="clear" w:color="auto" w:fill="FFFFFF"/>
          <w:lang w:eastAsia="zh-TW"/>
        </w:rPr>
      </w:pPr>
    </w:p>
    <w:tbl>
      <w:tblPr>
        <w:tblW w:w="9072" w:type="dxa"/>
        <w:tblCellMar>
          <w:left w:w="0" w:type="dxa"/>
          <w:right w:w="0" w:type="dxa"/>
        </w:tblCellMar>
        <w:tblLook w:val="0000"/>
      </w:tblPr>
      <w:tblGrid>
        <w:gridCol w:w="6"/>
        <w:gridCol w:w="6"/>
        <w:gridCol w:w="9060"/>
      </w:tblGrid>
      <w:tr w:rsidR="001D531D" w:rsidRPr="0065554E" w:rsidTr="001D53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31D" w:rsidRPr="0065554E" w:rsidRDefault="001D531D" w:rsidP="006D0180">
            <w:pPr>
              <w:rPr>
                <w:rFonts w:ascii="Arial" w:hAnsi="Arial" w:cs="Arial"/>
                <w:color w:val="000000"/>
                <w:lang w:eastAsia="zh-TW"/>
              </w:rPr>
            </w:pPr>
            <w:r w:rsidRPr="0065554E">
              <w:rPr>
                <w:rFonts w:ascii="Arial" w:hAnsi="Arial" w:cs="Arial"/>
                <w:color w:val="000000"/>
                <w:lang w:eastAsia="zh-TW"/>
              </w:rPr>
              <w:t xml:space="preserve">　</w:t>
            </w: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9933"/>
            <w:vAlign w:val="center"/>
          </w:tcPr>
          <w:p w:rsidR="001D531D" w:rsidRPr="0065554E" w:rsidRDefault="001D531D" w:rsidP="006D0180">
            <w:pPr>
              <w:rPr>
                <w:rFonts w:ascii="Arial" w:hAnsi="Arial" w:cs="Arial"/>
                <w:color w:val="FFFFFF"/>
                <w:lang w:eastAsia="zh-TW"/>
              </w:rPr>
            </w:pPr>
            <w:r w:rsidRPr="0065554E">
              <w:rPr>
                <w:rFonts w:ascii="Arial" w:hAnsi="Arial" w:cs="Arial"/>
                <w:color w:val="FFFFFF"/>
                <w:lang w:eastAsia="zh-TW"/>
              </w:rPr>
              <w:t>何謂電磁相容性</w:t>
            </w:r>
            <w:r w:rsidRPr="0065554E">
              <w:rPr>
                <w:rFonts w:ascii="Arial" w:hAnsi="Arial" w:cs="Arial"/>
                <w:color w:val="FFFFFF"/>
                <w:lang w:eastAsia="zh-TW"/>
              </w:rPr>
              <w:t xml:space="preserve"> (EMC) </w:t>
            </w:r>
            <w:r w:rsidRPr="0065554E">
              <w:rPr>
                <w:rFonts w:ascii="Arial" w:hAnsi="Arial" w:cs="Arial"/>
                <w:color w:val="FFFFFF"/>
                <w:lang w:eastAsia="zh-TW"/>
              </w:rPr>
              <w:t>？</w:t>
            </w:r>
          </w:p>
        </w:tc>
      </w:tr>
      <w:tr w:rsidR="001D531D" w:rsidRPr="0065554E" w:rsidTr="001D53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31D" w:rsidRPr="0065554E" w:rsidRDefault="001D531D" w:rsidP="006D0180">
            <w:pPr>
              <w:rPr>
                <w:rFonts w:ascii="新細明體" w:hAnsi="新細明體" w:cs="新細明體"/>
                <w:lang w:eastAsia="zh-TW"/>
              </w:rPr>
            </w:pPr>
            <w:r w:rsidRPr="0065554E">
              <w:rPr>
                <w:rFonts w:ascii="Arial" w:hAnsi="Arial" w:cs="Arial"/>
                <w:color w:val="000000"/>
                <w:lang w:eastAsia="zh-TW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31D" w:rsidRPr="0065554E" w:rsidRDefault="001D531D" w:rsidP="006D0180">
            <w:pPr>
              <w:rPr>
                <w:rFonts w:ascii="新細明體" w:hAnsi="新細明體" w:cs="新細明體"/>
                <w:lang w:eastAsia="zh-TW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31D" w:rsidRDefault="001D531D" w:rsidP="006D0180">
            <w:pPr>
              <w:spacing w:before="100" w:beforeAutospacing="1" w:after="240"/>
              <w:rPr>
                <w:rFonts w:ascii="Arial" w:hAnsi="Arial" w:cs="Arial" w:hint="eastAsia"/>
                <w:lang w:eastAsia="zh-TW"/>
              </w:rPr>
            </w:pPr>
            <w:r w:rsidRPr="0065554E">
              <w:rPr>
                <w:rFonts w:ascii="Arial" w:hAnsi="Arial" w:cs="Arial"/>
                <w:lang w:eastAsia="zh-TW"/>
              </w:rPr>
              <w:t>一個設備或裝置與其它裝置同時操作時，不受電磁干擾而影響本身正常的工作能力，也就是說</w:t>
            </w:r>
            <w:r w:rsidRPr="0065554E">
              <w:rPr>
                <w:rFonts w:ascii="Arial" w:hAnsi="Arial" w:cs="Arial"/>
                <w:lang w:eastAsia="zh-TW"/>
              </w:rPr>
              <w:t xml:space="preserve"> </w:t>
            </w:r>
            <w:r w:rsidRPr="0065554E">
              <w:rPr>
                <w:rFonts w:ascii="Arial" w:hAnsi="Arial" w:cs="Arial"/>
                <w:lang w:eastAsia="zh-TW"/>
              </w:rPr>
              <w:t>一個設備或裝置在操作過程中，有不利訊號出現時，此訊號是會影響原本的工作，而這訊號可可能來自自己；或一個設備或裝置在操作過程中，不受外界電磁干擾而影響其工作能力。</w:t>
            </w:r>
          </w:p>
          <w:p w:rsidR="001D531D" w:rsidRPr="0065554E" w:rsidRDefault="001D531D" w:rsidP="006D0180">
            <w:pPr>
              <w:spacing w:before="100" w:beforeAutospacing="1" w:after="240"/>
              <w:rPr>
                <w:rFonts w:ascii="新細明體" w:hAnsi="新細明體" w:cs="新細明體"/>
                <w:sz w:val="18"/>
                <w:szCs w:val="18"/>
                <w:lang w:eastAsia="zh-TW"/>
              </w:rPr>
            </w:pPr>
          </w:p>
        </w:tc>
      </w:tr>
      <w:tr w:rsidR="001D531D" w:rsidRPr="0065554E" w:rsidTr="001D53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31D" w:rsidRPr="0065554E" w:rsidRDefault="001D531D" w:rsidP="006D0180">
            <w:pPr>
              <w:rPr>
                <w:rFonts w:ascii="新細明體" w:hAnsi="新細明體" w:cs="新細明體"/>
                <w:lang w:eastAsia="zh-TW"/>
              </w:rPr>
            </w:pPr>
            <w:r w:rsidRPr="0065554E">
              <w:rPr>
                <w:rFonts w:ascii="Arial" w:hAnsi="Arial" w:cs="Arial"/>
                <w:color w:val="000000"/>
                <w:lang w:eastAsia="zh-TW"/>
              </w:rPr>
              <w:t xml:space="preserve">　</w:t>
            </w: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9933"/>
            <w:vAlign w:val="center"/>
          </w:tcPr>
          <w:p w:rsidR="001D531D" w:rsidRPr="0065554E" w:rsidRDefault="001D531D" w:rsidP="006D0180">
            <w:pPr>
              <w:rPr>
                <w:rFonts w:ascii="Arial" w:hAnsi="Arial" w:cs="Arial"/>
                <w:color w:val="FFFFFF"/>
                <w:lang w:eastAsia="zh-TW"/>
              </w:rPr>
            </w:pPr>
            <w:r w:rsidRPr="0065554E">
              <w:rPr>
                <w:color w:val="FFFFFF"/>
                <w:lang w:eastAsia="zh-TW"/>
              </w:rPr>
              <w:t>哪些設備需符合電磁相容性指令？</w:t>
            </w:r>
            <w:r w:rsidRPr="0065554E">
              <w:rPr>
                <w:color w:val="FFFFFF"/>
                <w:lang w:eastAsia="zh-TW"/>
              </w:rPr>
              <w:t xml:space="preserve"> </w:t>
            </w:r>
          </w:p>
        </w:tc>
      </w:tr>
      <w:tr w:rsidR="001D531D" w:rsidRPr="0065554E" w:rsidTr="001D53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31D" w:rsidRPr="0065554E" w:rsidRDefault="001D531D" w:rsidP="006D0180">
            <w:pPr>
              <w:rPr>
                <w:rFonts w:ascii="新細明體" w:hAnsi="新細明體" w:cs="新細明體"/>
                <w:lang w:eastAsia="zh-TW"/>
              </w:rPr>
            </w:pPr>
            <w:r w:rsidRPr="0065554E">
              <w:rPr>
                <w:rFonts w:ascii="Arial" w:hAnsi="Arial" w:cs="Arial"/>
                <w:color w:val="000000"/>
                <w:lang w:eastAsia="zh-TW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31D" w:rsidRPr="0065554E" w:rsidRDefault="001D531D" w:rsidP="006D0180">
            <w:pPr>
              <w:rPr>
                <w:rFonts w:ascii="新細明體" w:hAnsi="新細明體" w:cs="新細明體"/>
                <w:lang w:eastAsia="zh-TW"/>
              </w:rPr>
            </w:pPr>
            <w:r w:rsidRPr="0065554E">
              <w:rPr>
                <w:rFonts w:ascii="新細明體" w:hAnsi="新細明體" w:cs="新細明體"/>
                <w:lang w:eastAsia="zh-TW"/>
              </w:rPr>
              <w:t> 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31D" w:rsidRPr="0065554E" w:rsidRDefault="001D531D" w:rsidP="006D0180">
            <w:pPr>
              <w:spacing w:before="100" w:beforeAutospacing="1" w:after="100" w:afterAutospacing="1"/>
              <w:rPr>
                <w:rFonts w:ascii="Arial" w:hAnsi="Arial" w:cs="Arial"/>
                <w:lang w:eastAsia="zh-TW"/>
              </w:rPr>
            </w:pPr>
            <w:r w:rsidRPr="0065554E">
              <w:rPr>
                <w:rFonts w:ascii="Arial" w:hAnsi="Arial" w:cs="Arial"/>
                <w:lang w:eastAsia="zh-TW"/>
              </w:rPr>
              <w:t>依指令規定適用的對象，包含所有易於產生電磁干擾的設備，或是本身的功能易受電磁干擾的設備。指令的附件三列出以下儀器或設備：</w:t>
            </w:r>
            <w:r w:rsidRPr="0065554E">
              <w:rPr>
                <w:rFonts w:ascii="Arial" w:hAnsi="Arial" w:cs="Arial"/>
                <w:lang w:eastAsia="zh-TW"/>
              </w:rPr>
              <w:br/>
              <w:t xml:space="preserve">•  </w:t>
            </w:r>
            <w:r w:rsidRPr="0065554E">
              <w:rPr>
                <w:rFonts w:ascii="Arial" w:hAnsi="Arial" w:cs="Arial"/>
                <w:lang w:eastAsia="zh-TW"/>
              </w:rPr>
              <w:t>家用無線電及電視接收器</w:t>
            </w:r>
            <w:r w:rsidRPr="0065554E">
              <w:rPr>
                <w:rFonts w:ascii="Arial" w:hAnsi="Arial" w:cs="Arial"/>
                <w:lang w:eastAsia="zh-TW"/>
              </w:rPr>
              <w:br/>
              <w:t xml:space="preserve">•  </w:t>
            </w:r>
            <w:r w:rsidRPr="0065554E">
              <w:rPr>
                <w:rFonts w:ascii="Arial" w:hAnsi="Arial" w:cs="Arial"/>
                <w:lang w:eastAsia="zh-TW"/>
              </w:rPr>
              <w:t>工業製造設備</w:t>
            </w:r>
            <w:r w:rsidRPr="0065554E">
              <w:rPr>
                <w:rFonts w:ascii="Arial" w:hAnsi="Arial" w:cs="Arial"/>
                <w:lang w:eastAsia="zh-TW"/>
              </w:rPr>
              <w:br/>
              <w:t xml:space="preserve">•  </w:t>
            </w:r>
            <w:r w:rsidRPr="0065554E">
              <w:rPr>
                <w:rFonts w:ascii="Arial" w:hAnsi="Arial" w:cs="Arial"/>
                <w:lang w:eastAsia="zh-TW"/>
              </w:rPr>
              <w:t>行動收音機</w:t>
            </w:r>
            <w:r w:rsidRPr="0065554E">
              <w:rPr>
                <w:rFonts w:ascii="Arial" w:hAnsi="Arial" w:cs="Arial"/>
                <w:lang w:eastAsia="zh-TW"/>
              </w:rPr>
              <w:br/>
              <w:t xml:space="preserve">•  </w:t>
            </w:r>
            <w:r w:rsidRPr="0065554E">
              <w:rPr>
                <w:rFonts w:ascii="Arial" w:hAnsi="Arial" w:cs="Arial"/>
                <w:lang w:eastAsia="zh-TW"/>
              </w:rPr>
              <w:t>行動收音機及商用行動電話機</w:t>
            </w:r>
            <w:r w:rsidRPr="0065554E">
              <w:rPr>
                <w:rFonts w:ascii="Arial" w:hAnsi="Arial" w:cs="Arial"/>
                <w:lang w:eastAsia="zh-TW"/>
              </w:rPr>
              <w:br/>
              <w:t xml:space="preserve">•  </w:t>
            </w:r>
            <w:r w:rsidRPr="0065554E">
              <w:rPr>
                <w:rFonts w:ascii="Arial" w:hAnsi="Arial" w:cs="Arial"/>
                <w:lang w:eastAsia="zh-TW"/>
              </w:rPr>
              <w:t>醫療及科學設備</w:t>
            </w:r>
            <w:r w:rsidRPr="0065554E">
              <w:rPr>
                <w:rFonts w:ascii="Arial" w:hAnsi="Arial" w:cs="Arial"/>
                <w:lang w:eastAsia="zh-TW"/>
              </w:rPr>
              <w:br/>
              <w:t xml:space="preserve">•  </w:t>
            </w:r>
            <w:r w:rsidRPr="0065554E">
              <w:rPr>
                <w:rFonts w:ascii="Arial" w:hAnsi="Arial" w:cs="Arial"/>
                <w:lang w:eastAsia="zh-TW"/>
              </w:rPr>
              <w:t>資訊科技設備</w:t>
            </w:r>
            <w:r w:rsidRPr="0065554E">
              <w:rPr>
                <w:rFonts w:ascii="Arial" w:hAnsi="Arial" w:cs="Arial"/>
                <w:lang w:eastAsia="zh-TW"/>
              </w:rPr>
              <w:br/>
              <w:t xml:space="preserve">•  </w:t>
            </w:r>
            <w:r w:rsidRPr="0065554E">
              <w:rPr>
                <w:rFonts w:ascii="Arial" w:hAnsi="Arial" w:cs="Arial"/>
                <w:lang w:eastAsia="zh-TW"/>
              </w:rPr>
              <w:t>一般電器及家用電器</w:t>
            </w:r>
            <w:r w:rsidRPr="0065554E">
              <w:rPr>
                <w:rFonts w:ascii="Arial" w:hAnsi="Arial" w:cs="Arial"/>
                <w:lang w:eastAsia="zh-TW"/>
              </w:rPr>
              <w:br/>
              <w:t xml:space="preserve">•  </w:t>
            </w:r>
            <w:r w:rsidRPr="0065554E">
              <w:rPr>
                <w:rFonts w:ascii="Arial" w:hAnsi="Arial" w:cs="Arial"/>
                <w:lang w:eastAsia="zh-TW"/>
              </w:rPr>
              <w:t>航空及航海用無線設備</w:t>
            </w:r>
            <w:r w:rsidRPr="0065554E">
              <w:rPr>
                <w:rFonts w:ascii="Arial" w:hAnsi="Arial" w:cs="Arial"/>
                <w:lang w:eastAsia="zh-TW"/>
              </w:rPr>
              <w:br/>
              <w:t xml:space="preserve">•  </w:t>
            </w:r>
            <w:r w:rsidRPr="0065554E">
              <w:rPr>
                <w:rFonts w:ascii="Arial" w:hAnsi="Arial" w:cs="Arial"/>
                <w:lang w:eastAsia="zh-TW"/>
              </w:rPr>
              <w:t>教育用電子設備</w:t>
            </w:r>
            <w:r w:rsidRPr="0065554E">
              <w:rPr>
                <w:rFonts w:ascii="Arial" w:hAnsi="Arial" w:cs="Arial"/>
                <w:lang w:eastAsia="zh-TW"/>
              </w:rPr>
              <w:br/>
              <w:t xml:space="preserve">•  </w:t>
            </w:r>
            <w:r w:rsidRPr="0065554E">
              <w:rPr>
                <w:rFonts w:ascii="Arial" w:hAnsi="Arial" w:cs="Arial"/>
                <w:lang w:eastAsia="zh-TW"/>
              </w:rPr>
              <w:t>電信網路及儀器</w:t>
            </w:r>
            <w:r w:rsidRPr="0065554E">
              <w:rPr>
                <w:rFonts w:ascii="Arial" w:hAnsi="Arial" w:cs="Arial"/>
                <w:lang w:eastAsia="zh-TW"/>
              </w:rPr>
              <w:br/>
              <w:t xml:space="preserve">•  </w:t>
            </w:r>
            <w:r w:rsidRPr="0065554E">
              <w:rPr>
                <w:rFonts w:ascii="Arial" w:hAnsi="Arial" w:cs="Arial"/>
                <w:lang w:eastAsia="zh-TW"/>
              </w:rPr>
              <w:t>電台及電視發報機</w:t>
            </w:r>
            <w:r w:rsidRPr="0065554E">
              <w:rPr>
                <w:rFonts w:ascii="Arial" w:hAnsi="Arial" w:cs="Arial"/>
                <w:lang w:eastAsia="zh-TW"/>
              </w:rPr>
              <w:br/>
              <w:t xml:space="preserve">•  </w:t>
            </w:r>
            <w:r w:rsidRPr="0065554E">
              <w:rPr>
                <w:rFonts w:ascii="Arial" w:hAnsi="Arial" w:cs="Arial"/>
                <w:lang w:eastAsia="zh-TW"/>
              </w:rPr>
              <w:t>照明燈及螢光燈</w:t>
            </w:r>
            <w:r w:rsidRPr="0065554E">
              <w:rPr>
                <w:rFonts w:ascii="Arial" w:hAnsi="Arial" w:cs="Arial"/>
                <w:lang w:eastAsia="zh-TW"/>
              </w:rPr>
              <w:br/>
            </w:r>
            <w:r w:rsidRPr="0065554E">
              <w:rPr>
                <w:rFonts w:ascii="細明體" w:eastAsia="細明體" w:hAnsi="細明體" w:cs="細明體" w:hint="eastAsia"/>
                <w:lang w:eastAsia="zh-TW"/>
              </w:rPr>
              <w:t>※</w:t>
            </w:r>
            <w:r w:rsidRPr="0065554E">
              <w:rPr>
                <w:rFonts w:ascii="Arial" w:hAnsi="Arial" w:cs="Arial"/>
                <w:lang w:eastAsia="zh-TW"/>
              </w:rPr>
              <w:t xml:space="preserve"> </w:t>
            </w:r>
            <w:r w:rsidRPr="0065554E">
              <w:rPr>
                <w:rFonts w:ascii="Arial" w:hAnsi="Arial" w:cs="Arial"/>
                <w:lang w:eastAsia="zh-TW"/>
              </w:rPr>
              <w:t>工業產品必須依其適用的相關標準進行檢測</w:t>
            </w:r>
          </w:p>
        </w:tc>
      </w:tr>
    </w:tbl>
    <w:p w:rsidR="001D531D" w:rsidRDefault="001D531D" w:rsidP="001D531D">
      <w:pPr>
        <w:rPr>
          <w:rFonts w:hint="eastAsia"/>
          <w:lang w:eastAsia="zh-TW"/>
        </w:rPr>
      </w:pPr>
    </w:p>
    <w:p w:rsidR="00276EC1" w:rsidRPr="00276EC1" w:rsidRDefault="00276EC1" w:rsidP="00276EC1">
      <w:pPr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  <w:lang w:eastAsia="zh-TW"/>
        </w:rPr>
      </w:pPr>
      <w:r w:rsidRPr="00276EC1">
        <w:rPr>
          <w:rFonts w:ascii="Times New Roman" w:hAnsi="Times New Roman" w:cs="Times New Roman"/>
          <w:color w:val="000000"/>
          <w:sz w:val="32"/>
          <w:shd w:val="clear" w:color="auto" w:fill="FFFFFF"/>
          <w:lang w:eastAsia="zh-TW"/>
        </w:rPr>
        <w:lastRenderedPageBreak/>
        <w:t>電磁干擾</w:t>
      </w:r>
      <w:r w:rsidRPr="00276EC1">
        <w:rPr>
          <w:rFonts w:ascii="Times New Roman" w:hAnsi="Times New Roman" w:cs="Times New Roman"/>
          <w:color w:val="000000"/>
          <w:sz w:val="32"/>
          <w:shd w:val="clear" w:color="auto" w:fill="FFFFFF"/>
          <w:lang w:eastAsia="zh-TW"/>
        </w:rPr>
        <w:t>(EMI)</w:t>
      </w:r>
      <w:r w:rsidRPr="00276EC1">
        <w:rPr>
          <w:rFonts w:ascii="Times New Roman" w:hAnsi="Times New Roman" w:cs="Times New Roman"/>
          <w:color w:val="000000"/>
          <w:sz w:val="32"/>
          <w:shd w:val="clear" w:color="auto" w:fill="FFFFFF"/>
          <w:lang w:eastAsia="zh-TW"/>
        </w:rPr>
        <w:t>測試項目</w:t>
      </w:r>
    </w:p>
    <w:p w:rsidR="00276EC1" w:rsidRDefault="00276EC1" w:rsidP="00276EC1">
      <w:pPr>
        <w:jc w:val="center"/>
        <w:rPr>
          <w:rFonts w:ascii="Times New Roman" w:hAnsi="Times New Roman" w:cs="Times New Roman"/>
          <w:color w:val="000000"/>
          <w:shd w:val="clear" w:color="auto" w:fill="FFFFFF"/>
          <w:lang w:eastAsia="zh-TW"/>
        </w:rPr>
      </w:pPr>
    </w:p>
    <w:p w:rsidR="00276EC1" w:rsidRDefault="00276EC1" w:rsidP="00276EC1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傳導干擾與輻射干擾</w:t>
      </w:r>
    </w:p>
    <w:p w:rsidR="00276EC1" w:rsidRDefault="00276EC1" w:rsidP="00276EC1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fd"/>
        <w:tblW w:w="0" w:type="auto"/>
        <w:tblInd w:w="700" w:type="dxa"/>
        <w:tblLook w:val="04A0"/>
      </w:tblPr>
      <w:tblGrid>
        <w:gridCol w:w="4181"/>
        <w:gridCol w:w="4181"/>
      </w:tblGrid>
      <w:tr w:rsidR="00276EC1" w:rsidTr="00276EC1">
        <w:tc>
          <w:tcPr>
            <w:tcW w:w="4181" w:type="dxa"/>
          </w:tcPr>
          <w:p w:rsidR="00276EC1" w:rsidRPr="00495737" w:rsidRDefault="00276EC1" w:rsidP="00276EC1">
            <w:pPr>
              <w:jc w:val="center"/>
            </w:pPr>
            <w:r>
              <w:rPr>
                <w:rFonts w:hint="eastAsia"/>
              </w:rPr>
              <w:t>指令編號</w:t>
            </w:r>
          </w:p>
        </w:tc>
        <w:tc>
          <w:tcPr>
            <w:tcW w:w="4181" w:type="dxa"/>
          </w:tcPr>
          <w:p w:rsidR="00276EC1" w:rsidRDefault="00276EC1" w:rsidP="00276EC1">
            <w:pPr>
              <w:jc w:val="center"/>
            </w:pPr>
            <w:r>
              <w:rPr>
                <w:rFonts w:hint="eastAsia"/>
              </w:rPr>
              <w:t>對照名稱</w:t>
            </w:r>
          </w:p>
        </w:tc>
      </w:tr>
      <w:tr w:rsidR="00276EC1" w:rsidTr="00276EC1">
        <w:tc>
          <w:tcPr>
            <w:tcW w:w="4181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</w:rPr>
            </w:pP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EN550-11/CISPR11</w:t>
            </w:r>
          </w:p>
        </w:tc>
        <w:tc>
          <w:tcPr>
            <w:tcW w:w="4181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工業</w:t>
            </w: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科學與醫療儀器</w:t>
            </w:r>
          </w:p>
        </w:tc>
      </w:tr>
      <w:tr w:rsidR="00276EC1" w:rsidTr="00276EC1">
        <w:tc>
          <w:tcPr>
            <w:tcW w:w="4181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</w:rPr>
            </w:pP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EN550-13 /CISPR13</w:t>
            </w:r>
          </w:p>
        </w:tc>
        <w:tc>
          <w:tcPr>
            <w:tcW w:w="4181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zh-TW"/>
              </w:rPr>
            </w:pP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  <w:lang w:eastAsia="zh-TW"/>
              </w:rPr>
              <w:t>廣播接收機</w:t>
            </w: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  <w:lang w:eastAsia="zh-TW"/>
              </w:rPr>
              <w:t xml:space="preserve"> /</w:t>
            </w: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  <w:lang w:eastAsia="zh-TW"/>
              </w:rPr>
              <w:t>影視類產品</w:t>
            </w:r>
          </w:p>
        </w:tc>
      </w:tr>
      <w:tr w:rsidR="00276EC1" w:rsidTr="00276EC1">
        <w:tc>
          <w:tcPr>
            <w:tcW w:w="4181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</w:rPr>
            </w:pP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EN550-14</w:t>
            </w:r>
            <w:r w:rsidRPr="00BF398D">
              <w:rPr>
                <w:rFonts w:ascii="Times New Roman" w:hAnsi="Times New Roman" w:cs="Times New Roman"/>
              </w:rPr>
              <w:t xml:space="preserve"> /CISPR14</w:t>
            </w:r>
          </w:p>
        </w:tc>
        <w:tc>
          <w:tcPr>
            <w:tcW w:w="4181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家電及手工具產品</w:t>
            </w:r>
          </w:p>
        </w:tc>
      </w:tr>
      <w:tr w:rsidR="00276EC1" w:rsidTr="00276EC1">
        <w:tc>
          <w:tcPr>
            <w:tcW w:w="4181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</w:rPr>
            </w:pP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EN550-15</w:t>
            </w:r>
            <w:r w:rsidRPr="00BF398D">
              <w:rPr>
                <w:rFonts w:ascii="Times New Roman" w:hAnsi="Times New Roman" w:cs="Times New Roman"/>
              </w:rPr>
              <w:t xml:space="preserve"> /CISPR15</w:t>
            </w:r>
          </w:p>
        </w:tc>
        <w:tc>
          <w:tcPr>
            <w:tcW w:w="4181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照明用燈具類產品</w:t>
            </w:r>
          </w:p>
        </w:tc>
      </w:tr>
      <w:tr w:rsidR="00276EC1" w:rsidTr="00276EC1">
        <w:tc>
          <w:tcPr>
            <w:tcW w:w="4181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</w:rPr>
            </w:pP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 550-22</w:t>
            </w:r>
            <w:r w:rsidRPr="00BF398D">
              <w:rPr>
                <w:rFonts w:ascii="Times New Roman" w:hAnsi="Times New Roman" w:cs="Times New Roman"/>
              </w:rPr>
              <w:t xml:space="preserve"> /CISPR22</w:t>
            </w:r>
          </w:p>
        </w:tc>
        <w:tc>
          <w:tcPr>
            <w:tcW w:w="4181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資訊類產品</w:t>
            </w:r>
          </w:p>
        </w:tc>
      </w:tr>
      <w:tr w:rsidR="00276EC1" w:rsidTr="00276EC1">
        <w:tc>
          <w:tcPr>
            <w:tcW w:w="4181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</w:rPr>
            </w:pP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EN61000-3-2</w:t>
            </w:r>
            <w:r w:rsidRPr="00BF398D">
              <w:rPr>
                <w:rFonts w:ascii="Times New Roman" w:hAnsi="Times New Roman" w:cs="Times New Roman"/>
              </w:rPr>
              <w:t xml:space="preserve"> (HAMONIC)</w:t>
            </w:r>
          </w:p>
        </w:tc>
        <w:tc>
          <w:tcPr>
            <w:tcW w:w="4181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電流諧波</w:t>
            </w:r>
          </w:p>
        </w:tc>
      </w:tr>
      <w:tr w:rsidR="00276EC1" w:rsidTr="00276EC1">
        <w:tc>
          <w:tcPr>
            <w:tcW w:w="4181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EN61000-3-3 (VOLTAGE FLICKER)</w:t>
            </w:r>
          </w:p>
        </w:tc>
        <w:tc>
          <w:tcPr>
            <w:tcW w:w="4181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電壓變動與閃爍</w:t>
            </w:r>
          </w:p>
        </w:tc>
      </w:tr>
    </w:tbl>
    <w:p w:rsidR="00276EC1" w:rsidRDefault="00276EC1" w:rsidP="00276EC1">
      <w:pPr>
        <w:jc w:val="center"/>
      </w:pPr>
    </w:p>
    <w:p w:rsidR="00276EC1" w:rsidRDefault="00276EC1" w:rsidP="00276EC1">
      <w:pPr>
        <w:jc w:val="center"/>
      </w:pPr>
    </w:p>
    <w:p w:rsidR="00276EC1" w:rsidRDefault="00276EC1" w:rsidP="00276EC1">
      <w:pPr>
        <w:jc w:val="center"/>
        <w:rPr>
          <w:rFonts w:ascii="Times New Roman" w:hAnsi="Times New Roman" w:cs="Times New Roman"/>
          <w:color w:val="000000"/>
          <w:shd w:val="clear" w:color="auto" w:fill="FFFFFF"/>
          <w:lang w:eastAsia="zh-TW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zh-TW"/>
        </w:rPr>
        <w:t>電磁耐受性</w:t>
      </w:r>
      <w:r>
        <w:rPr>
          <w:rFonts w:ascii="Times New Roman" w:hAnsi="Times New Roman" w:cs="Times New Roman" w:hint="eastAsia"/>
          <w:color w:val="000000"/>
          <w:shd w:val="clear" w:color="auto" w:fill="FFFFFF"/>
          <w:lang w:eastAsia="zh-TW"/>
        </w:rPr>
        <w:t xml:space="preserve">EN 55024 </w:t>
      </w:r>
      <w:r>
        <w:rPr>
          <w:rFonts w:ascii="Times New Roman" w:hAnsi="Times New Roman" w:cs="Times New Roman"/>
          <w:color w:val="000000"/>
          <w:shd w:val="clear" w:color="auto" w:fill="FFFFFF"/>
          <w:lang w:eastAsia="zh-TW"/>
        </w:rPr>
        <w:t>(EMS)</w:t>
      </w:r>
      <w:r>
        <w:rPr>
          <w:rFonts w:ascii="Times New Roman" w:hAnsi="Times New Roman" w:cs="Times New Roman"/>
          <w:color w:val="000000"/>
          <w:shd w:val="clear" w:color="auto" w:fill="FFFFFF"/>
          <w:lang w:eastAsia="zh-TW"/>
        </w:rPr>
        <w:t>測試項目</w:t>
      </w:r>
    </w:p>
    <w:p w:rsidR="00276EC1" w:rsidRDefault="00276EC1" w:rsidP="00276EC1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傳導耐受與輻射耐受</w:t>
      </w:r>
    </w:p>
    <w:tbl>
      <w:tblPr>
        <w:tblStyle w:val="afd"/>
        <w:tblpPr w:leftFromText="180" w:rightFromText="180" w:vertAnchor="text" w:horzAnchor="margin" w:tblpXSpec="right" w:tblpY="270"/>
        <w:tblW w:w="8897" w:type="dxa"/>
        <w:tblLook w:val="04A0"/>
      </w:tblPr>
      <w:tblGrid>
        <w:gridCol w:w="6204"/>
        <w:gridCol w:w="2693"/>
      </w:tblGrid>
      <w:tr w:rsidR="00276EC1" w:rsidRPr="00BF398D" w:rsidTr="00276EC1">
        <w:tc>
          <w:tcPr>
            <w:tcW w:w="6204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</w:rPr>
            </w:pPr>
            <w:r w:rsidRPr="00BF398D">
              <w:rPr>
                <w:rFonts w:ascii="Times New Roman" w:cs="Times New Roman"/>
              </w:rPr>
              <w:t>指令編號</w:t>
            </w:r>
          </w:p>
        </w:tc>
        <w:tc>
          <w:tcPr>
            <w:tcW w:w="2693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</w:rPr>
            </w:pPr>
            <w:r w:rsidRPr="00BF398D">
              <w:rPr>
                <w:rFonts w:ascii="Times New Roman" w:cs="Times New Roman"/>
              </w:rPr>
              <w:t>對照名稱</w:t>
            </w:r>
          </w:p>
        </w:tc>
      </w:tr>
      <w:tr w:rsidR="00276EC1" w:rsidRPr="00BF398D" w:rsidTr="00276EC1">
        <w:tc>
          <w:tcPr>
            <w:tcW w:w="6204" w:type="dxa"/>
          </w:tcPr>
          <w:p w:rsidR="00276EC1" w:rsidRPr="00BF398D" w:rsidRDefault="00276EC1" w:rsidP="00276EC1">
            <w:pPr>
              <w:pStyle w:val="We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F398D">
              <w:rPr>
                <w:rFonts w:ascii="Times New Roman" w:hAnsi="Times New Roman" w:cs="Times New Roman"/>
                <w:color w:val="000000"/>
              </w:rPr>
              <w:t>IEC / EN 61000-4-2 (ESD)</w:t>
            </w:r>
          </w:p>
        </w:tc>
        <w:tc>
          <w:tcPr>
            <w:tcW w:w="2693" w:type="dxa"/>
          </w:tcPr>
          <w:p w:rsidR="00276EC1" w:rsidRPr="00BF398D" w:rsidRDefault="00276EC1" w:rsidP="00276EC1">
            <w:pPr>
              <w:pStyle w:val="Web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98D">
              <w:rPr>
                <w:rFonts w:ascii="Times New Roman" w:hAnsi="Times New Roman" w:cs="Times New Roman"/>
                <w:color w:val="000000"/>
              </w:rPr>
              <w:t>靜電放電</w:t>
            </w:r>
          </w:p>
        </w:tc>
      </w:tr>
      <w:tr w:rsidR="00276EC1" w:rsidRPr="00BF398D" w:rsidTr="00276EC1">
        <w:tc>
          <w:tcPr>
            <w:tcW w:w="6204" w:type="dxa"/>
          </w:tcPr>
          <w:p w:rsidR="00276EC1" w:rsidRPr="00BF398D" w:rsidRDefault="00276EC1" w:rsidP="00276EC1">
            <w:pPr>
              <w:pStyle w:val="We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F398D">
              <w:rPr>
                <w:rFonts w:ascii="Times New Roman" w:hAnsi="Times New Roman" w:cs="Times New Roman"/>
                <w:color w:val="000000"/>
              </w:rPr>
              <w:t>IEC / EN 61000-4-3</w:t>
            </w:r>
            <w:r w:rsidRPr="00BF398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RADIATED SUSCEPTIBILITY</w:t>
            </w:r>
            <w:r w:rsidRPr="00BF39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276EC1" w:rsidRPr="00BF398D" w:rsidRDefault="00276EC1" w:rsidP="00276EC1">
            <w:pPr>
              <w:pStyle w:val="Web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98D">
              <w:rPr>
                <w:rFonts w:ascii="Times New Roman" w:hAnsi="Times New Roman" w:cs="Times New Roman"/>
                <w:color w:val="000000"/>
              </w:rPr>
              <w:t>輻射耐受性</w:t>
            </w:r>
          </w:p>
        </w:tc>
      </w:tr>
      <w:tr w:rsidR="00276EC1" w:rsidRPr="00BF398D" w:rsidTr="00276EC1">
        <w:tc>
          <w:tcPr>
            <w:tcW w:w="6204" w:type="dxa"/>
          </w:tcPr>
          <w:p w:rsidR="00276EC1" w:rsidRPr="00BF398D" w:rsidRDefault="00276EC1" w:rsidP="00276EC1">
            <w:pPr>
              <w:pStyle w:val="Web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98D">
              <w:rPr>
                <w:rFonts w:ascii="Times New Roman" w:hAnsi="Times New Roman" w:cs="Times New Roman"/>
                <w:color w:val="000000"/>
              </w:rPr>
              <w:t>IEC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/ EN 6</w:t>
            </w:r>
            <w:r w:rsidRPr="00BF398D">
              <w:rPr>
                <w:rFonts w:ascii="Times New Roman" w:hAnsi="Times New Roman" w:cs="Times New Roman"/>
                <w:color w:val="000000"/>
              </w:rPr>
              <w:t xml:space="preserve">1000-4-4 </w:t>
            </w:r>
            <w:r>
              <w:rPr>
                <w:rFonts w:ascii="Times New Roman" w:hAnsi="Times New Roman" w:cs="Times New Roman" w:hint="eastAsia"/>
                <w:color w:val="000000"/>
              </w:rPr>
              <w:t>(ELECTRICAL FAST TRANSIENT)</w:t>
            </w:r>
          </w:p>
        </w:tc>
        <w:tc>
          <w:tcPr>
            <w:tcW w:w="2693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8D">
              <w:rPr>
                <w:rFonts w:ascii="Times New Roman" w:hAnsi="Times New Roman" w:cs="Times New Roman"/>
                <w:color w:val="000000"/>
                <w:szCs w:val="24"/>
              </w:rPr>
              <w:t>快速</w:t>
            </w: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脈衝</w:t>
            </w:r>
          </w:p>
        </w:tc>
      </w:tr>
      <w:tr w:rsidR="00276EC1" w:rsidRPr="00BF398D" w:rsidTr="00276EC1">
        <w:tc>
          <w:tcPr>
            <w:tcW w:w="6204" w:type="dxa"/>
          </w:tcPr>
          <w:p w:rsidR="00276EC1" w:rsidRPr="00BF398D" w:rsidRDefault="00276EC1" w:rsidP="00276EC1">
            <w:pPr>
              <w:pStyle w:val="Web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98D">
              <w:rPr>
                <w:rFonts w:ascii="Times New Roman" w:hAnsi="Times New Roman" w:cs="Times New Roman"/>
                <w:color w:val="000000"/>
              </w:rPr>
              <w:t>IEC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/ EN 6</w:t>
            </w:r>
            <w:r w:rsidRPr="00BF398D">
              <w:rPr>
                <w:rFonts w:ascii="Times New Roman" w:hAnsi="Times New Roman" w:cs="Times New Roman"/>
                <w:color w:val="000000"/>
              </w:rPr>
              <w:t xml:space="preserve">1000-4-5 </w:t>
            </w:r>
            <w:r>
              <w:rPr>
                <w:rFonts w:ascii="Times New Roman" w:hAnsi="Times New Roman" w:cs="Times New Roman" w:hint="eastAsia"/>
                <w:color w:val="000000"/>
              </w:rPr>
              <w:t>(LIGHTNING SURGE)</w:t>
            </w:r>
          </w:p>
        </w:tc>
        <w:tc>
          <w:tcPr>
            <w:tcW w:w="2693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8D">
              <w:rPr>
                <w:rFonts w:ascii="Times New Roman" w:hAnsi="Times New Roman" w:cs="Times New Roman"/>
                <w:color w:val="000000"/>
                <w:szCs w:val="24"/>
              </w:rPr>
              <w:t>雷擊突波耐受性</w:t>
            </w:r>
          </w:p>
        </w:tc>
      </w:tr>
      <w:tr w:rsidR="00276EC1" w:rsidRPr="00BF398D" w:rsidTr="00276EC1">
        <w:tc>
          <w:tcPr>
            <w:tcW w:w="6204" w:type="dxa"/>
          </w:tcPr>
          <w:p w:rsidR="00276EC1" w:rsidRPr="00BF398D" w:rsidRDefault="00276EC1" w:rsidP="00276EC1">
            <w:pPr>
              <w:pStyle w:val="Web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98D">
              <w:rPr>
                <w:rFonts w:ascii="Times New Roman" w:hAnsi="Times New Roman" w:cs="Times New Roman"/>
                <w:color w:val="000000"/>
              </w:rPr>
              <w:t xml:space="preserve">IEC </w:t>
            </w:r>
            <w:r>
              <w:rPr>
                <w:rFonts w:ascii="Times New Roman" w:hAnsi="Times New Roman" w:cs="Times New Roman" w:hint="eastAsia"/>
                <w:color w:val="000000"/>
              </w:rPr>
              <w:t>/ EN 6</w:t>
            </w:r>
            <w:r w:rsidRPr="00BF398D">
              <w:rPr>
                <w:rFonts w:ascii="Times New Roman" w:hAnsi="Times New Roman" w:cs="Times New Roman"/>
                <w:color w:val="000000"/>
              </w:rPr>
              <w:t xml:space="preserve">1000-4-6 </w:t>
            </w:r>
            <w:r>
              <w:rPr>
                <w:rFonts w:ascii="Times New Roman" w:hAnsi="Times New Roman" w:cs="Times New Roman" w:hint="eastAsia"/>
                <w:color w:val="000000"/>
              </w:rPr>
              <w:t>(CONDUCTED IMMUNITY)</w:t>
            </w:r>
          </w:p>
        </w:tc>
        <w:tc>
          <w:tcPr>
            <w:tcW w:w="2693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8D">
              <w:rPr>
                <w:rFonts w:ascii="Times New Roman" w:hAnsi="Times New Roman" w:cs="Times New Roman"/>
                <w:color w:val="000000"/>
                <w:szCs w:val="24"/>
              </w:rPr>
              <w:t>傳導耐受性</w:t>
            </w:r>
          </w:p>
        </w:tc>
      </w:tr>
      <w:tr w:rsidR="00276EC1" w:rsidRPr="00BF398D" w:rsidTr="00276EC1">
        <w:tc>
          <w:tcPr>
            <w:tcW w:w="6204" w:type="dxa"/>
          </w:tcPr>
          <w:p w:rsidR="00276EC1" w:rsidRPr="00BF398D" w:rsidRDefault="00276EC1" w:rsidP="00276EC1">
            <w:pPr>
              <w:pStyle w:val="Web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98D">
              <w:rPr>
                <w:rFonts w:ascii="Times New Roman" w:hAnsi="Times New Roman" w:cs="Times New Roman"/>
                <w:color w:val="000000"/>
              </w:rPr>
              <w:t xml:space="preserve">IEC </w:t>
            </w:r>
            <w:r>
              <w:rPr>
                <w:rFonts w:ascii="Times New Roman" w:hAnsi="Times New Roman" w:cs="Times New Roman" w:hint="eastAsia"/>
                <w:color w:val="000000"/>
              </w:rPr>
              <w:t>/ EN 6</w:t>
            </w:r>
            <w:r w:rsidRPr="00BF398D">
              <w:rPr>
                <w:rFonts w:ascii="Times New Roman" w:hAnsi="Times New Roman" w:cs="Times New Roman"/>
                <w:color w:val="000000"/>
              </w:rPr>
              <w:t xml:space="preserve">1000-4-8 </w:t>
            </w:r>
            <w:r>
              <w:rPr>
                <w:rFonts w:ascii="Times New Roman" w:hAnsi="Times New Roman" w:cs="Times New Roman" w:hint="eastAsia"/>
                <w:color w:val="000000"/>
              </w:rPr>
              <w:t>(POWER FREQUENCY MAGNETIC FIELD)</w:t>
            </w:r>
          </w:p>
        </w:tc>
        <w:tc>
          <w:tcPr>
            <w:tcW w:w="2693" w:type="dxa"/>
          </w:tcPr>
          <w:p w:rsidR="00276EC1" w:rsidRPr="00BF398D" w:rsidRDefault="00276EC1" w:rsidP="00276E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8D">
              <w:rPr>
                <w:rFonts w:ascii="Times New Roman" w:hAnsi="Times New Roman" w:cs="Times New Roman"/>
                <w:color w:val="000000"/>
                <w:szCs w:val="24"/>
              </w:rPr>
              <w:t>電源頻率磁場</w:t>
            </w:r>
          </w:p>
        </w:tc>
      </w:tr>
      <w:tr w:rsidR="00276EC1" w:rsidRPr="00BF398D" w:rsidTr="00276EC1">
        <w:tc>
          <w:tcPr>
            <w:tcW w:w="6204" w:type="dxa"/>
          </w:tcPr>
          <w:p w:rsidR="00276EC1" w:rsidRPr="00BF398D" w:rsidRDefault="00276EC1" w:rsidP="00276EC1">
            <w:pPr>
              <w:pStyle w:val="Web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8D">
              <w:rPr>
                <w:rFonts w:ascii="Times New Roman" w:hAnsi="Times New Roman" w:cs="Times New Roman"/>
                <w:color w:val="000000"/>
              </w:rPr>
              <w:t xml:space="preserve">IEC </w:t>
            </w:r>
            <w:r>
              <w:rPr>
                <w:rFonts w:ascii="Times New Roman" w:hAnsi="Times New Roman" w:cs="Times New Roman" w:hint="eastAsia"/>
                <w:color w:val="000000"/>
              </w:rPr>
              <w:t>/ EN 6</w:t>
            </w:r>
            <w:r w:rsidRPr="00BF398D">
              <w:rPr>
                <w:rFonts w:ascii="Times New Roman" w:hAnsi="Times New Roman" w:cs="Times New Roman"/>
                <w:color w:val="000000"/>
              </w:rPr>
              <w:t>1000-4-11</w:t>
            </w:r>
            <w:r w:rsidRPr="00BF39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(DIP)</w:t>
            </w:r>
          </w:p>
        </w:tc>
        <w:tc>
          <w:tcPr>
            <w:tcW w:w="2693" w:type="dxa"/>
          </w:tcPr>
          <w:p w:rsidR="00276EC1" w:rsidRPr="00BF398D" w:rsidRDefault="00276EC1" w:rsidP="00276EC1">
            <w:pPr>
              <w:pStyle w:val="Web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98D">
              <w:rPr>
                <w:rFonts w:ascii="Times New Roman" w:hAnsi="Times New Roman" w:cs="Times New Roman"/>
                <w:color w:val="000000"/>
              </w:rPr>
              <w:t>瞬降瞬斷電壓</w:t>
            </w:r>
          </w:p>
        </w:tc>
      </w:tr>
    </w:tbl>
    <w:p w:rsidR="00276EC1" w:rsidRPr="00BF398D" w:rsidRDefault="00276EC1" w:rsidP="00276EC1">
      <w:pPr>
        <w:jc w:val="center"/>
      </w:pPr>
    </w:p>
    <w:p w:rsidR="00276EC1" w:rsidRPr="00495737" w:rsidRDefault="00276EC1" w:rsidP="00276EC1">
      <w:pPr>
        <w:jc w:val="center"/>
      </w:pPr>
    </w:p>
    <w:p w:rsidR="00D64361" w:rsidRPr="00D64361" w:rsidRDefault="00D64361" w:rsidP="00276EC1">
      <w:pPr>
        <w:jc w:val="center"/>
        <w:rPr>
          <w:sz w:val="24"/>
          <w:szCs w:val="24"/>
        </w:rPr>
      </w:pPr>
    </w:p>
    <w:p w:rsidR="002F34E4" w:rsidRPr="00D64361" w:rsidRDefault="002F34E4" w:rsidP="00276EC1">
      <w:pPr>
        <w:pStyle w:val="ae"/>
        <w:jc w:val="center"/>
        <w:rPr>
          <w:rFonts w:ascii="標楷體" w:eastAsia="標楷體" w:hAnsi="標楷體"/>
          <w:sz w:val="24"/>
          <w:szCs w:val="24"/>
          <w:lang w:eastAsia="zh-TW"/>
        </w:rPr>
      </w:pPr>
    </w:p>
    <w:sectPr w:rsidR="002F34E4" w:rsidRPr="00D64361" w:rsidSect="000B67AA">
      <w:headerReference w:type="default" r:id="rId8"/>
      <w:footerReference w:type="default" r:id="rId9"/>
      <w:pgSz w:w="11906" w:h="16838" w:code="9"/>
      <w:pgMar w:top="1588" w:right="1077" w:bottom="907" w:left="1077" w:header="454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79D" w:rsidRDefault="0044779D" w:rsidP="00730B0A">
      <w:pPr>
        <w:spacing w:after="0" w:line="240" w:lineRule="auto"/>
      </w:pPr>
      <w:r>
        <w:separator/>
      </w:r>
    </w:p>
  </w:endnote>
  <w:endnote w:type="continuationSeparator" w:id="1">
    <w:p w:rsidR="0044779D" w:rsidRDefault="0044779D" w:rsidP="0073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B6" w:rsidRDefault="00451DB2" w:rsidP="00EA6D04">
    <w:pPr>
      <w:pStyle w:val="a5"/>
      <w:rPr>
        <w:lang w:eastAsia="zh-TW"/>
      </w:rPr>
    </w:pPr>
    <w:r w:rsidRPr="00451DB2">
      <w:rPr>
        <w:rFonts w:asciiTheme="majorHAnsi" w:hAnsiTheme="majorHAnsi" w:cstheme="majorHAnsi"/>
        <w:lang w:eastAsia="zh-TW"/>
      </w:rPr>
      <w:ptab w:relativeTo="margin" w:alignment="right" w:leader="none"/>
    </w:r>
    <w:r w:rsidRPr="00451DB2">
      <w:rPr>
        <w:rFonts w:asciiTheme="majorHAnsi" w:hAnsiTheme="majorHAnsi" w:cstheme="majorHAnsi"/>
        <w:lang w:val="zh-TW" w:eastAsia="zh-TW"/>
      </w:rPr>
      <w:t>頁</w:t>
    </w:r>
    <w:r w:rsidRPr="00451DB2">
      <w:rPr>
        <w:rFonts w:asciiTheme="majorHAnsi" w:hAnsiTheme="majorHAnsi" w:cstheme="majorHAnsi"/>
        <w:lang w:val="zh-TW" w:eastAsia="zh-TW"/>
      </w:rPr>
      <w:t xml:space="preserve"> </w:t>
    </w:r>
    <w:r w:rsidR="00B97C5C">
      <w:rPr>
        <w:lang w:eastAsia="zh-TW"/>
      </w:rPr>
      <w:fldChar w:fldCharType="begin"/>
    </w:r>
    <w:r>
      <w:rPr>
        <w:lang w:eastAsia="zh-TW"/>
      </w:rPr>
      <w:instrText xml:space="preserve"> PAGE   \* MERGEFORMAT </w:instrText>
    </w:r>
    <w:r w:rsidR="00B97C5C">
      <w:rPr>
        <w:lang w:eastAsia="zh-TW"/>
      </w:rPr>
      <w:fldChar w:fldCharType="separate"/>
    </w:r>
    <w:r w:rsidR="001D531D" w:rsidRPr="001D531D">
      <w:rPr>
        <w:rFonts w:asciiTheme="majorHAnsi" w:hAnsiTheme="majorHAnsi" w:cstheme="majorHAnsi"/>
        <w:noProof/>
        <w:lang w:val="zh-TW" w:eastAsia="zh-TW"/>
      </w:rPr>
      <w:t>2</w:t>
    </w:r>
    <w:r w:rsidR="00B97C5C">
      <w:rPr>
        <w:lang w:eastAsia="zh-TW"/>
      </w:rPr>
      <w:fldChar w:fldCharType="end"/>
    </w:r>
    <w:r w:rsidR="00B97C5C">
      <w:rPr>
        <w:noProof/>
        <w:lang w:eastAsia="zh-TW"/>
      </w:rPr>
      <w:pict>
        <v:group id="_x0000_s1038" style="position:absolute;margin-left:0;margin-top:0;width:611.15pt;height:64.75pt;flip:y;z-index:25166848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4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B97C5C">
      <w:rPr>
        <w:noProof/>
        <w:lang w:eastAsia="zh-TW"/>
      </w:rPr>
      <w:pict>
        <v:rect id="_x0000_s1037" style="position:absolute;margin-left:0;margin-top:0;width:7.15pt;height:63.95pt;z-index:251667456;mso-height-percent:900;mso-position-horizontal:center;mso-position-horizontal-relative:left-margin-area;mso-position-vertical:bottom;mso-position-vertical-relative:page;mso-height-percent:900;mso-height-relative:bottom-margin-area" fillcolor="#7ba79d [3208]" strokecolor="#39564f [1608]">
          <w10:wrap anchorx="margin" anchory="page"/>
        </v:rect>
      </w:pict>
    </w:r>
    <w:r w:rsidR="00B97C5C">
      <w:rPr>
        <w:noProof/>
        <w:lang w:eastAsia="zh-TW"/>
      </w:rPr>
      <w:pict>
        <v:rect id="_x0000_s1036" style="position:absolute;margin-left:0;margin-top:0;width:7.15pt;height:63.95pt;z-index:251666432;mso-height-percent:900;mso-position-horizontal:center;mso-position-horizontal-relative:right-margin-area;mso-position-vertical:bottom;mso-position-vertical-relative:page;mso-height-percent:900;mso-height-relative:bottom-margin-area" fillcolor="#7ba79d [3208]" strokecolor="#39564f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79D" w:rsidRDefault="0044779D" w:rsidP="00730B0A">
      <w:pPr>
        <w:spacing w:after="0" w:line="240" w:lineRule="auto"/>
      </w:pPr>
      <w:r>
        <w:separator/>
      </w:r>
    </w:p>
  </w:footnote>
  <w:footnote w:type="continuationSeparator" w:id="1">
    <w:p w:rsidR="0044779D" w:rsidRDefault="0044779D" w:rsidP="0073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28" w:rsidRPr="00FB1728" w:rsidRDefault="00B97C5C" w:rsidP="000B67AA">
    <w:pPr>
      <w:pStyle w:val="ae"/>
      <w:ind w:firstLineChars="300" w:firstLine="600"/>
      <w:rPr>
        <w:rFonts w:ascii="標楷體" w:eastAsia="標楷體" w:hAnsi="標楷體"/>
        <w:sz w:val="28"/>
        <w:szCs w:val="28"/>
        <w:lang w:eastAsia="zh-TW"/>
      </w:rPr>
    </w:pPr>
    <w:r w:rsidRPr="00B97C5C">
      <w:rPr>
        <w:rFonts w:ascii="Book Antiqua" w:eastAsia="標楷體" w:hAnsi="Book Antiqua" w:cstheme="majorBidi"/>
        <w:sz w:val="20"/>
        <w:szCs w:val="20"/>
      </w:rPr>
      <w:pict>
        <v:group id="_x0000_s1033" style="position:absolute;left:0;text-align:left;margin-left:0;margin-top:0;width:594.45pt;height:74.75pt;z-index:251664384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568278 [2408]"/>
          <v:rect id="_x0000_s103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07BAF">
      <w:rPr>
        <w:rFonts w:ascii="標楷體" w:eastAsia="標楷體" w:hAnsi="標楷體" w:hint="eastAsia"/>
        <w:noProof/>
        <w:sz w:val="28"/>
        <w:szCs w:val="28"/>
        <w:lang w:eastAsia="zh-TW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-167005</wp:posOffset>
          </wp:positionV>
          <wp:extent cx="687070" cy="636270"/>
          <wp:effectExtent l="19050" t="0" r="0" b="0"/>
          <wp:wrapTight wrapText="bothSides">
            <wp:wrapPolygon edited="0">
              <wp:start x="-599" y="0"/>
              <wp:lineTo x="-599" y="20695"/>
              <wp:lineTo x="21560" y="20695"/>
              <wp:lineTo x="21560" y="0"/>
              <wp:lineTo x="-599" y="0"/>
            </wp:wrapPolygon>
          </wp:wrapTight>
          <wp:docPr id="8" name="圖片 3" descr="KJ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B48">
      <w:rPr>
        <w:rFonts w:ascii="標楷體" w:eastAsia="標楷體" w:hAnsi="標楷體" w:hint="eastAsia"/>
        <w:sz w:val="28"/>
        <w:szCs w:val="28"/>
        <w:lang w:eastAsia="zh-TW"/>
      </w:rPr>
      <w:t xml:space="preserve"> </w:t>
    </w:r>
    <w:r w:rsidR="000B67AA">
      <w:rPr>
        <w:rFonts w:ascii="標楷體" w:eastAsia="標楷體" w:hAnsi="標楷體" w:hint="eastAsia"/>
        <w:sz w:val="28"/>
        <w:szCs w:val="28"/>
        <w:lang w:eastAsia="zh-TW"/>
      </w:rPr>
      <w:t xml:space="preserve">  </w:t>
    </w:r>
    <w:r w:rsidR="00FB1728" w:rsidRPr="00FB1728">
      <w:rPr>
        <w:rFonts w:ascii="標楷體" w:eastAsia="標楷體" w:hAnsi="標楷體" w:hint="eastAsia"/>
        <w:sz w:val="28"/>
        <w:szCs w:val="28"/>
        <w:lang w:eastAsia="zh-TW"/>
      </w:rPr>
      <w:t xml:space="preserve">坤展國際安全驗證有限公司 </w:t>
    </w:r>
  </w:p>
  <w:p w:rsidR="00FB1728" w:rsidRPr="00FB1728" w:rsidRDefault="00FB1728" w:rsidP="00FB1728">
    <w:pPr>
      <w:pStyle w:val="ae"/>
      <w:rPr>
        <w:rFonts w:ascii="Book Antiqua" w:eastAsia="標楷體" w:hAnsi="Book Antiqua"/>
        <w:sz w:val="20"/>
        <w:szCs w:val="20"/>
        <w:lang w:eastAsia="zh-TW"/>
      </w:rPr>
    </w:pPr>
    <w:r w:rsidRPr="00FB1728">
      <w:rPr>
        <w:rFonts w:ascii="Book Antiqua" w:hAnsi="Book Antiqua"/>
        <w:sz w:val="28"/>
        <w:szCs w:val="28"/>
        <w:lang w:eastAsia="zh-TW"/>
      </w:rPr>
      <w:t xml:space="preserve"> </w:t>
    </w:r>
    <w:r w:rsidR="00D07BAF">
      <w:rPr>
        <w:rFonts w:ascii="Book Antiqua" w:hAnsi="Book Antiqua" w:hint="eastAsia"/>
        <w:sz w:val="28"/>
        <w:szCs w:val="28"/>
        <w:lang w:eastAsia="zh-TW"/>
      </w:rPr>
      <w:t xml:space="preserve">     </w:t>
    </w:r>
    <w:r w:rsidR="006B3B48">
      <w:rPr>
        <w:rFonts w:ascii="Book Antiqua" w:hAnsi="Book Antiqua" w:hint="eastAsia"/>
        <w:sz w:val="28"/>
        <w:szCs w:val="28"/>
        <w:lang w:eastAsia="zh-TW"/>
      </w:rPr>
      <w:t xml:space="preserve"> </w:t>
    </w:r>
    <w:r w:rsidR="000B67AA">
      <w:rPr>
        <w:rFonts w:ascii="Book Antiqua" w:hAnsi="Book Antiqua" w:hint="eastAsia"/>
        <w:sz w:val="28"/>
        <w:szCs w:val="28"/>
        <w:lang w:eastAsia="zh-TW"/>
      </w:rPr>
      <w:t xml:space="preserve"> </w:t>
    </w:r>
    <w:r w:rsidRPr="00FB1728">
      <w:rPr>
        <w:rFonts w:ascii="Book Antiqua" w:hAnsi="Book Antiqua"/>
        <w:sz w:val="28"/>
        <w:szCs w:val="28"/>
        <w:lang w:eastAsia="zh-TW"/>
      </w:rPr>
      <w:t>K. J. Certification Co. Ltd.</w:t>
    </w:r>
    <w:r w:rsidRPr="00FB1728">
      <w:rPr>
        <w:rFonts w:ascii="Book Antiqua" w:hAnsi="Book Antiqua"/>
        <w:sz w:val="32"/>
        <w:szCs w:val="32"/>
        <w:lang w:eastAsia="zh-TW"/>
      </w:rPr>
      <w:t xml:space="preserve"> </w:t>
    </w:r>
    <w:r w:rsidRPr="00FB1728">
      <w:rPr>
        <w:rFonts w:ascii="Book Antiqua" w:hAnsi="Book Antiqua"/>
        <w:lang w:eastAsia="zh-TW"/>
      </w:rPr>
      <w:t xml:space="preserve"> </w:t>
    </w:r>
    <w:r w:rsidR="00D07BAF">
      <w:rPr>
        <w:rFonts w:hint="eastAsia"/>
        <w:lang w:eastAsia="zh-TW"/>
      </w:rPr>
      <w:t xml:space="preserve">                </w:t>
    </w:r>
    <w:r w:rsidRPr="00FB1728">
      <w:rPr>
        <w:rFonts w:ascii="Book Antiqua" w:eastAsia="標楷體" w:hAnsi="標楷體" w:hint="eastAsia"/>
        <w:sz w:val="20"/>
        <w:szCs w:val="20"/>
        <w:lang w:eastAsia="zh-TW"/>
      </w:rPr>
      <w:t>432</w:t>
    </w:r>
    <w:r w:rsidRPr="00FB1728">
      <w:rPr>
        <w:rFonts w:ascii="Book Antiqua" w:eastAsia="標楷體" w:hAnsi="標楷體"/>
        <w:sz w:val="20"/>
        <w:szCs w:val="20"/>
        <w:lang w:eastAsia="zh-TW"/>
      </w:rPr>
      <w:t>台中市大肚區遊園路二段</w:t>
    </w:r>
    <w:r w:rsidRPr="00FB1728">
      <w:rPr>
        <w:rFonts w:ascii="Book Antiqua" w:eastAsia="標楷體" w:hAnsi="Book Antiqua"/>
        <w:sz w:val="20"/>
        <w:szCs w:val="20"/>
        <w:lang w:eastAsia="zh-TW"/>
      </w:rPr>
      <w:t>43</w:t>
    </w:r>
    <w:r w:rsidRPr="00FB1728">
      <w:rPr>
        <w:rFonts w:ascii="Book Antiqua" w:eastAsia="標楷體" w:hAnsi="標楷體"/>
        <w:sz w:val="20"/>
        <w:szCs w:val="20"/>
        <w:lang w:eastAsia="zh-TW"/>
      </w:rPr>
      <w:t>號</w:t>
    </w:r>
    <w:r w:rsidRPr="00FB1728">
      <w:rPr>
        <w:rFonts w:ascii="Book Antiqua" w:eastAsia="標楷體" w:hAnsi="Book Antiqua"/>
        <w:sz w:val="20"/>
        <w:szCs w:val="20"/>
        <w:lang w:eastAsia="zh-TW"/>
      </w:rPr>
      <w:t>1</w:t>
    </w:r>
    <w:r w:rsidRPr="00FB1728">
      <w:rPr>
        <w:rFonts w:ascii="Book Antiqua" w:eastAsia="標楷體" w:hAnsi="標楷體"/>
        <w:sz w:val="20"/>
        <w:szCs w:val="20"/>
        <w:lang w:eastAsia="zh-TW"/>
      </w:rPr>
      <w:t>樓</w:t>
    </w:r>
  </w:p>
  <w:p w:rsidR="00623BB6" w:rsidRPr="00FB1728" w:rsidRDefault="00FB1728" w:rsidP="00330B38">
    <w:pPr>
      <w:pStyle w:val="ae"/>
      <w:jc w:val="center"/>
      <w:rPr>
        <w:rFonts w:ascii="Book Antiqua" w:eastAsia="標楷體" w:hAnsi="Book Antiqua" w:cstheme="majorBidi"/>
        <w:sz w:val="20"/>
        <w:szCs w:val="20"/>
        <w:lang w:eastAsia="zh-TW"/>
      </w:rPr>
    </w:pPr>
    <w:r w:rsidRPr="00FB1728">
      <w:rPr>
        <w:rFonts w:ascii="Book Antiqua" w:eastAsia="標楷體" w:hAnsi="Book Antiqua"/>
        <w:sz w:val="20"/>
        <w:szCs w:val="20"/>
        <w:lang w:eastAsia="zh-TW"/>
      </w:rPr>
      <w:t xml:space="preserve">                                                    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   </w:t>
    </w:r>
    <w:r w:rsidRPr="00FB1728">
      <w:rPr>
        <w:rFonts w:ascii="Book Antiqua" w:eastAsia="標楷體" w:hAnsi="Book Antiqua"/>
        <w:sz w:val="20"/>
        <w:szCs w:val="20"/>
        <w:lang w:eastAsia="zh-TW"/>
      </w:rPr>
      <w:t xml:space="preserve">Tel : +886-4-26910213 </w:t>
    </w:r>
    <w:r>
      <w:rPr>
        <w:rFonts w:ascii="Book Antiqua" w:eastAsia="標楷體" w:hAnsi="Book Antiqua" w:hint="eastAsia"/>
        <w:sz w:val="20"/>
        <w:szCs w:val="20"/>
        <w:lang w:eastAsia="zh-TW"/>
      </w:rPr>
      <w:t xml:space="preserve"> </w:t>
    </w:r>
    <w:r w:rsidRPr="00FB1728">
      <w:rPr>
        <w:rFonts w:ascii="Book Antiqua" w:eastAsia="標楷體" w:hAnsi="Book Antiqua"/>
        <w:sz w:val="20"/>
        <w:szCs w:val="20"/>
        <w:lang w:eastAsia="zh-TW"/>
      </w:rPr>
      <w:t>Fax :+886-4-26917117</w:t>
    </w:r>
    <w:r w:rsidR="00B97C5C">
      <w:rPr>
        <w:rFonts w:ascii="Book Antiqua" w:eastAsia="標楷體" w:hAnsi="Book Antiqua" w:cstheme="majorBidi"/>
        <w:sz w:val="20"/>
        <w:szCs w:val="20"/>
      </w:rPr>
      <w:pict>
        <v:rect id="_x0000_s1032" style="position:absolute;left:0;text-align:left;margin-left:0;margin-top:0;width:7.15pt;height:64pt;z-index:251663360;mso-height-percent:900;mso-position-horizontal:center;mso-position-horizontal-relative:right-margin-area;mso-position-vertical:top;mso-position-vertical-relative:page;mso-height-percent:900;mso-height-relative:top-margin-area" fillcolor="#7ba79d [3208]" strokecolor="#39564f [1608]">
          <w10:wrap anchorx="page" anchory="page"/>
        </v:rect>
      </w:pict>
    </w:r>
    <w:r w:rsidR="00B97C5C">
      <w:rPr>
        <w:rFonts w:ascii="Book Antiqua" w:eastAsia="標楷體" w:hAnsi="Book Antiqua" w:cstheme="majorBidi"/>
        <w:sz w:val="20"/>
        <w:szCs w:val="20"/>
      </w:rPr>
      <w:pict>
        <v:rect id="_x0000_s1031" style="position:absolute;left:0;text-align:left;margin-left:0;margin-top:0;width:7.15pt;height:64pt;z-index:251662336;mso-height-percent:900;mso-position-horizontal:center;mso-position-horizontal-relative:left-margin-area;mso-position-vertical:top;mso-position-vertical-relative:page;mso-height-percent:900;mso-height-relative:top-margin-area" fillcolor="#7ba79d [3208]" strokecolor="#39564f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5EB5"/>
    <w:multiLevelType w:val="hybridMultilevel"/>
    <w:tmpl w:val="D6D2DBF8"/>
    <w:lvl w:ilvl="0" w:tplc="3496ECA0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874596"/>
    <w:multiLevelType w:val="hybridMultilevel"/>
    <w:tmpl w:val="AD02D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B21115"/>
    <w:multiLevelType w:val="hybridMultilevel"/>
    <w:tmpl w:val="F7EA5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6866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1"/>
      <o:rules v:ext="edit">
        <o:r id="V:Rule3" type="connector" idref="#_x0000_s1039"/>
        <o:r id="V:Rule4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B0A"/>
    <w:rsid w:val="0000679A"/>
    <w:rsid w:val="0001648A"/>
    <w:rsid w:val="0009676C"/>
    <w:rsid w:val="000A02FA"/>
    <w:rsid w:val="000A4924"/>
    <w:rsid w:val="000B57F9"/>
    <w:rsid w:val="000B67AA"/>
    <w:rsid w:val="000C3394"/>
    <w:rsid w:val="0011372A"/>
    <w:rsid w:val="00131953"/>
    <w:rsid w:val="001351D3"/>
    <w:rsid w:val="00135FFF"/>
    <w:rsid w:val="00163550"/>
    <w:rsid w:val="0019396F"/>
    <w:rsid w:val="001963D5"/>
    <w:rsid w:val="001A66B8"/>
    <w:rsid w:val="001B750B"/>
    <w:rsid w:val="001D531D"/>
    <w:rsid w:val="0023646D"/>
    <w:rsid w:val="002701E1"/>
    <w:rsid w:val="00272A65"/>
    <w:rsid w:val="00276EC1"/>
    <w:rsid w:val="002954F0"/>
    <w:rsid w:val="002D4F4F"/>
    <w:rsid w:val="002D7542"/>
    <w:rsid w:val="002F34E4"/>
    <w:rsid w:val="002F7CB9"/>
    <w:rsid w:val="00326DDB"/>
    <w:rsid w:val="00330B38"/>
    <w:rsid w:val="0036231A"/>
    <w:rsid w:val="003953FC"/>
    <w:rsid w:val="003B1FB7"/>
    <w:rsid w:val="00413539"/>
    <w:rsid w:val="00437D38"/>
    <w:rsid w:val="0044779D"/>
    <w:rsid w:val="00451DB2"/>
    <w:rsid w:val="004C10B6"/>
    <w:rsid w:val="005059AF"/>
    <w:rsid w:val="0054236A"/>
    <w:rsid w:val="00550ECB"/>
    <w:rsid w:val="00575631"/>
    <w:rsid w:val="005D15C6"/>
    <w:rsid w:val="005D619D"/>
    <w:rsid w:val="005E5529"/>
    <w:rsid w:val="00613C1F"/>
    <w:rsid w:val="0061756F"/>
    <w:rsid w:val="00623BB6"/>
    <w:rsid w:val="00632A55"/>
    <w:rsid w:val="0064175C"/>
    <w:rsid w:val="00657A57"/>
    <w:rsid w:val="00684B23"/>
    <w:rsid w:val="006A3DB0"/>
    <w:rsid w:val="006A40E2"/>
    <w:rsid w:val="006B0F4A"/>
    <w:rsid w:val="006B3B48"/>
    <w:rsid w:val="006C0FE1"/>
    <w:rsid w:val="006C7B23"/>
    <w:rsid w:val="006D5298"/>
    <w:rsid w:val="006E5B08"/>
    <w:rsid w:val="00710310"/>
    <w:rsid w:val="007169AB"/>
    <w:rsid w:val="00730B0A"/>
    <w:rsid w:val="007623BA"/>
    <w:rsid w:val="007931B2"/>
    <w:rsid w:val="007A59DC"/>
    <w:rsid w:val="007C209F"/>
    <w:rsid w:val="007C483C"/>
    <w:rsid w:val="007C7F2E"/>
    <w:rsid w:val="007F069A"/>
    <w:rsid w:val="0084328A"/>
    <w:rsid w:val="0085417C"/>
    <w:rsid w:val="00864EBF"/>
    <w:rsid w:val="008B2022"/>
    <w:rsid w:val="008E1A2F"/>
    <w:rsid w:val="009220E5"/>
    <w:rsid w:val="009260AC"/>
    <w:rsid w:val="009745B8"/>
    <w:rsid w:val="009A3490"/>
    <w:rsid w:val="009A5834"/>
    <w:rsid w:val="009D215C"/>
    <w:rsid w:val="009D633C"/>
    <w:rsid w:val="00A01FBB"/>
    <w:rsid w:val="00A17B26"/>
    <w:rsid w:val="00A22811"/>
    <w:rsid w:val="00A345AA"/>
    <w:rsid w:val="00A35179"/>
    <w:rsid w:val="00A835E8"/>
    <w:rsid w:val="00A926FC"/>
    <w:rsid w:val="00A97731"/>
    <w:rsid w:val="00AA517F"/>
    <w:rsid w:val="00AA533D"/>
    <w:rsid w:val="00AA7120"/>
    <w:rsid w:val="00AB097C"/>
    <w:rsid w:val="00AB0A6D"/>
    <w:rsid w:val="00AD68A3"/>
    <w:rsid w:val="00B03011"/>
    <w:rsid w:val="00B16B36"/>
    <w:rsid w:val="00B657BC"/>
    <w:rsid w:val="00B8679F"/>
    <w:rsid w:val="00B93FE7"/>
    <w:rsid w:val="00B97C5C"/>
    <w:rsid w:val="00BB4EAC"/>
    <w:rsid w:val="00BD2D6F"/>
    <w:rsid w:val="00BE3803"/>
    <w:rsid w:val="00BE6039"/>
    <w:rsid w:val="00BF1C60"/>
    <w:rsid w:val="00C01D68"/>
    <w:rsid w:val="00CE1915"/>
    <w:rsid w:val="00CE2565"/>
    <w:rsid w:val="00D0740F"/>
    <w:rsid w:val="00D07BAF"/>
    <w:rsid w:val="00D23D3C"/>
    <w:rsid w:val="00D26FD0"/>
    <w:rsid w:val="00D34A54"/>
    <w:rsid w:val="00D64361"/>
    <w:rsid w:val="00D922D1"/>
    <w:rsid w:val="00DB72FC"/>
    <w:rsid w:val="00DF0B53"/>
    <w:rsid w:val="00E04334"/>
    <w:rsid w:val="00E16D28"/>
    <w:rsid w:val="00E209BD"/>
    <w:rsid w:val="00E5770D"/>
    <w:rsid w:val="00E7106B"/>
    <w:rsid w:val="00E738A8"/>
    <w:rsid w:val="00EA6D04"/>
    <w:rsid w:val="00EB0ECF"/>
    <w:rsid w:val="00EC36D1"/>
    <w:rsid w:val="00F57FBF"/>
    <w:rsid w:val="00FB1728"/>
    <w:rsid w:val="00FC08E2"/>
    <w:rsid w:val="00FC63E3"/>
    <w:rsid w:val="00FD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style="mso-width-relative:margin;v-text-anchor:middle" strokecolor="none [3212]">
      <v:stroke color="none [3212]" weight="1pt"/>
      <v:shadow color="none [2732]" offset="3pt,3pt" offset2="2pt,2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A"/>
  </w:style>
  <w:style w:type="paragraph" w:styleId="1">
    <w:name w:val="heading 1"/>
    <w:basedOn w:val="a"/>
    <w:next w:val="a"/>
    <w:link w:val="10"/>
    <w:uiPriority w:val="9"/>
    <w:qFormat/>
    <w:rsid w:val="00730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B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B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B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B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B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B0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30B0A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730B0A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30B0A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標題 4 字元"/>
    <w:basedOn w:val="a0"/>
    <w:link w:val="4"/>
    <w:uiPriority w:val="9"/>
    <w:rsid w:val="00730B0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標題 5 字元"/>
    <w:basedOn w:val="a0"/>
    <w:link w:val="5"/>
    <w:uiPriority w:val="9"/>
    <w:rsid w:val="00730B0A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標題 6 字元"/>
    <w:basedOn w:val="a0"/>
    <w:link w:val="6"/>
    <w:uiPriority w:val="9"/>
    <w:rsid w:val="00730B0A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標題 7 字元"/>
    <w:basedOn w:val="a0"/>
    <w:link w:val="7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30B0A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30B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30B0A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30B0A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9">
    <w:name w:val="標題 字元"/>
    <w:basedOn w:val="a0"/>
    <w:link w:val="a8"/>
    <w:uiPriority w:val="10"/>
    <w:rsid w:val="00730B0A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30B0A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730B0A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30B0A"/>
    <w:rPr>
      <w:b/>
      <w:bCs/>
    </w:rPr>
  </w:style>
  <w:style w:type="character" w:styleId="ad">
    <w:name w:val="Emphasis"/>
    <w:basedOn w:val="a0"/>
    <w:uiPriority w:val="20"/>
    <w:qFormat/>
    <w:rsid w:val="00730B0A"/>
    <w:rPr>
      <w:i/>
      <w:iCs/>
    </w:rPr>
  </w:style>
  <w:style w:type="paragraph" w:styleId="ae">
    <w:name w:val="No Spacing"/>
    <w:uiPriority w:val="1"/>
    <w:qFormat/>
    <w:rsid w:val="00730B0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30B0A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730B0A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730B0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730B0A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f3">
    <w:name w:val="鮮明引文 字元"/>
    <w:basedOn w:val="a0"/>
    <w:link w:val="af2"/>
    <w:uiPriority w:val="30"/>
    <w:rsid w:val="00730B0A"/>
    <w:rPr>
      <w:b/>
      <w:bCs/>
      <w:i/>
      <w:iCs/>
      <w:color w:val="94B6D2" w:themeColor="accent1"/>
    </w:rPr>
  </w:style>
  <w:style w:type="character" w:styleId="af4">
    <w:name w:val="Subtle Emphasis"/>
    <w:basedOn w:val="a0"/>
    <w:uiPriority w:val="19"/>
    <w:qFormat/>
    <w:rsid w:val="00730B0A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730B0A"/>
    <w:rPr>
      <w:b/>
      <w:bCs/>
      <w:i/>
      <w:iCs/>
      <w:color w:val="94B6D2" w:themeColor="accent1"/>
    </w:rPr>
  </w:style>
  <w:style w:type="character" w:styleId="af6">
    <w:name w:val="Subtle Reference"/>
    <w:basedOn w:val="a0"/>
    <w:uiPriority w:val="31"/>
    <w:qFormat/>
    <w:rsid w:val="00730B0A"/>
    <w:rPr>
      <w:smallCaps/>
      <w:color w:val="DD8047" w:themeColor="accent2"/>
      <w:u w:val="single"/>
    </w:rPr>
  </w:style>
  <w:style w:type="character" w:styleId="af7">
    <w:name w:val="Intense Reference"/>
    <w:basedOn w:val="a0"/>
    <w:uiPriority w:val="32"/>
    <w:qFormat/>
    <w:rsid w:val="00730B0A"/>
    <w:rPr>
      <w:b/>
      <w:bCs/>
      <w:smallCaps/>
      <w:color w:val="DD8047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730B0A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730B0A"/>
    <w:pPr>
      <w:outlineLvl w:val="9"/>
    </w:pPr>
  </w:style>
  <w:style w:type="character" w:styleId="afa">
    <w:name w:val="Placeholder Text"/>
    <w:basedOn w:val="a0"/>
    <w:uiPriority w:val="99"/>
    <w:semiHidden/>
    <w:rsid w:val="0036231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3623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36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209BD"/>
  </w:style>
  <w:style w:type="table" w:styleId="afd">
    <w:name w:val="Table Grid"/>
    <w:basedOn w:val="a1"/>
    <w:uiPriority w:val="59"/>
    <w:rsid w:val="00D34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rsid w:val="00E04334"/>
    <w:rPr>
      <w:color w:val="0000FF"/>
      <w:u w:val="single"/>
    </w:rPr>
  </w:style>
  <w:style w:type="paragraph" w:customStyle="1" w:styleId="aff">
    <w:name w:val="樣式"/>
    <w:rsid w:val="00B93FE7"/>
    <w:pPr>
      <w:widowControl w:val="0"/>
      <w:autoSpaceDE w:val="0"/>
      <w:autoSpaceDN w:val="0"/>
      <w:adjustRightInd w:val="0"/>
      <w:spacing w:after="0" w:line="240" w:lineRule="auto"/>
    </w:pPr>
    <w:rPr>
      <w:rFonts w:ascii="PMingLiU" w:hAnsi="PMingLiU" w:cs="PMingLiU"/>
      <w:sz w:val="24"/>
      <w:szCs w:val="24"/>
      <w:lang w:eastAsia="zh-TW" w:bidi="ar-SA"/>
    </w:rPr>
  </w:style>
  <w:style w:type="paragraph" w:styleId="Web">
    <w:name w:val="Normal (Web)"/>
    <w:basedOn w:val="a"/>
    <w:uiPriority w:val="99"/>
    <w:rsid w:val="00864EB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台中市大肚區遊園路二段43號1樓                  1F. No.43, Sec. 2, Youyuan Rd., Dadu Dist., Taichung City 432, Taiwan                      Tel : +886-4-26910213  Fax : +886-4-26917117  </CompanyAddress>
  <CompanyPhone>Tel : +886-4-26910213</CompanyPhone>
  <CompanyFax>  Fax : +886-4-26917117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167</Words>
  <Characters>957</Characters>
  <Application>Microsoft Office Word</Application>
  <DocSecurity>0</DocSecurity>
  <Lines>7</Lines>
  <Paragraphs>2</Paragraphs>
  <ScaleCrop>false</ScaleCrop>
  <Company>坤展國際安全驗證有限公司  K. J. Certification Co. Ltd.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user</cp:lastModifiedBy>
  <cp:revision>41</cp:revision>
  <cp:lastPrinted>2013-07-12T15:34:00Z</cp:lastPrinted>
  <dcterms:created xsi:type="dcterms:W3CDTF">2013-07-11T01:48:00Z</dcterms:created>
  <dcterms:modified xsi:type="dcterms:W3CDTF">2014-09-23T10:04:00Z</dcterms:modified>
</cp:coreProperties>
</file>